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motocykla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Motocykl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 (na ramie):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Pojemność silnika (cm³):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Moc silnika (kW):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Przebieg (km):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motocykla: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motocykla i że pojazd jest wolny od wad prawnych oraz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zapoznał się ze stanem technicznym motocykla i nie wnosi do niego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wydaje Kupującemu dowód rejestracyjny oraz komplet kluczy.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pojazdu (art. 558 § 1 Kodeksu cywilnego).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