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kupna-sprzedaży maszyny rolniczej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Maszyna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Rodzaj maszyny: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fabryczny: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Rok produkcji: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Parametry robocze: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Stan techniczny i zużycie: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Forma zapłaty: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maszyny: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jest właścicielem maszyny i że maszyna jest wolna od wad prawnych oraz praw osób trzecich.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obejrzał maszynę, sprawdził jej działanie i zaakceptował opisany stan techniczny.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Odbiór maszyny następuje z miejsca wskazanego przez Sprzedającego, a transport organizuje Kupujący.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wyłączają odpowiedzialność Sprzedającego z tytułu rękojmi za wady fizyczne (art. 558 § 1 Kodeksu cywilnego).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535 i nast. (sprzedaż), art. 558 § 1 (wyłączenie rękojmi)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